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="00164B4C" w:rsidRDefault="00DF0231" w14:paraId="672A6659" w14:textId="77777777">
      <w:r>
        <w:rPr>
          <w:noProof/>
        </w:rPr>
        <w:drawing>
          <wp:inline distT="0" distB="0" distL="0" distR="0" wp14:anchorId="0F73F774" wp14:editId="07777777">
            <wp:extent cx="5000625" cy="2486025"/>
            <wp:effectExtent l="0" t="0" r="0" b="0"/>
            <wp:docPr id="100003" name="Picture 100003" descr="Ein Bild, das draußen, Wolke, Himmel, Pflanz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3" name="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4B4C" w:rsidRDefault="00DF0231" w14:paraId="4693225C" w14:textId="77777777">
      <w:pPr>
        <w:spacing w:line="210" w:lineRule="atLeast"/>
        <w:jc w:val="right"/>
      </w:pPr>
      <w:r>
        <w:rPr>
          <w:sz w:val="15"/>
          <w:szCs w:val="15"/>
        </w:rPr>
        <w:t xml:space="preserve">Photo by </w:t>
      </w:r>
      <w:hyperlink w:history="1" r:id="rId9">
        <w:r>
          <w:rPr>
            <w:color w:val="000000"/>
            <w:sz w:val="15"/>
            <w:szCs w:val="15"/>
            <w:u w:val="single" w:color="000000"/>
          </w:rPr>
          <w:t>Jason Charters</w:t>
        </w:r>
      </w:hyperlink>
      <w:r>
        <w:rPr>
          <w:sz w:val="15"/>
          <w:szCs w:val="15"/>
        </w:rPr>
        <w:t xml:space="preserve"> at </w:t>
      </w:r>
      <w:hyperlink w:history="1" r:id="rId10">
        <w:r>
          <w:rPr>
            <w:color w:val="000000"/>
            <w:sz w:val="15"/>
            <w:szCs w:val="15"/>
            <w:u w:val="single" w:color="000000"/>
          </w:rPr>
          <w:t>Unsplash</w:t>
        </w:r>
      </w:hyperlink>
    </w:p>
    <w:p w:rsidR="00164B4C" w:rsidRDefault="00164B4C" w14:paraId="0A37501D" w14:textId="77777777"/>
    <w:p w:rsidR="00164B4C" w:rsidRDefault="00DF0231" w14:paraId="7D5036F2" w14:textId="77777777">
      <w:pPr>
        <w:pStyle w:val="Heading1"/>
        <w:keepNext w:val="0"/>
        <w:keepLines w:val="0"/>
        <w:spacing w:before="0"/>
      </w:pPr>
      <w:r>
        <w:rPr>
          <w:rFonts w:ascii="Sennheiser Office" w:hAnsi="Sennheiser Office" w:eastAsia="Sennheiser Office" w:cs="Sennheiser Office"/>
          <w:color w:val="0095D5"/>
          <w:sz w:val="18"/>
          <w:szCs w:val="18"/>
        </w:rPr>
        <w:t>La généralisation des contenus immersifs à tous r</w:t>
      </w:r>
      <w:r>
        <w:rPr>
          <w:rFonts w:ascii="Sennheiser Office" w:hAnsi="Sennheiser Office" w:eastAsia="Sennheiser Office" w:cs="Sennheiser Office"/>
          <w:color w:val="0095D5"/>
          <w:sz w:val="18"/>
          <w:szCs w:val="18"/>
        </w:rPr>
        <w:t xml:space="preserve">end les investissements bien plus rentables </w:t>
      </w:r>
    </w:p>
    <w:p w:rsidR="00164B4C" w:rsidRDefault="00DF0231" w14:paraId="6DAAB4F9" w14:textId="77777777">
      <w:r>
        <w:rPr>
          <w:b/>
          <w:bCs/>
        </w:rPr>
        <w:t>Le plugin du logiciel AMBEO 2-Channel Spatial Audio Live Renderer sera disponible avant fin 2023</w:t>
      </w:r>
    </w:p>
    <w:p w:rsidR="00164B4C" w:rsidRDefault="00164B4C" w14:paraId="5DAB6C7B" w14:textId="77777777">
      <w:pPr>
        <w:rPr>
          <w:b/>
          <w:bCs/>
        </w:rPr>
      </w:pPr>
    </w:p>
    <w:p w:rsidR="00164B4C" w:rsidRDefault="00DF0231" w14:paraId="0B47D82E" w14:textId="77777777">
      <w:r>
        <w:rPr>
          <w:b/>
          <w:bCs/>
          <w:i/>
          <w:iCs/>
        </w:rPr>
        <w:t>Wedemark, 15 septembre 2023</w:t>
      </w:r>
      <w:r>
        <w:rPr>
          <w:b/>
          <w:bCs/>
        </w:rPr>
        <w:t xml:space="preserve"> – Le logiciel AMBEO 2-Channel Spatial Audio Live Renderer sera proposé en tant que pl</w:t>
      </w:r>
      <w:r>
        <w:rPr>
          <w:b/>
          <w:bCs/>
        </w:rPr>
        <w:t>ugin pour l’interface audio Anubis de Merging Technologies au 4</w:t>
      </w:r>
      <w:r>
        <w:rPr>
          <w:b/>
          <w:bCs/>
          <w:vertAlign w:val="superscript"/>
        </w:rPr>
        <w:t>ème</w:t>
      </w:r>
      <w:r>
        <w:rPr>
          <w:b/>
          <w:bCs/>
        </w:rPr>
        <w:t xml:space="preserve"> trimestre 2023. Les broadcasteurs du monde entier se montrent très intéressés par cet outil inédit, qui convertit les mix immersifs live en rendu bi-canal pour une expérience optimale. Le m</w:t>
      </w:r>
      <w:r>
        <w:rPr>
          <w:b/>
          <w:bCs/>
        </w:rPr>
        <w:t xml:space="preserve">ix AMBEO 2-Channel Spatial Audio fonctionnera avec n’importe quel système stéréo, rendant toute installation stéréo standard obsolète. </w:t>
      </w:r>
    </w:p>
    <w:p w:rsidR="00164B4C" w:rsidRDefault="00164B4C" w14:paraId="02EB378F" w14:textId="77777777"/>
    <w:p w:rsidR="00164B4C" w:rsidRDefault="00DF0231" w14:paraId="46565331" w14:textId="77777777">
      <w:r>
        <w:rPr>
          <w:b/>
          <w:bCs/>
        </w:rPr>
        <w:t xml:space="preserve">Un traitement immersif révolutionnaire des contenus diffusés en direct </w:t>
      </w:r>
    </w:p>
    <w:p w:rsidR="00164B4C" w:rsidRDefault="00DF0231" w14:paraId="037EC270" w14:textId="77777777">
      <w:r>
        <w:t>« Les professionnels de la diffusion des rencon</w:t>
      </w:r>
      <w:r>
        <w:t>tres sportives sont de nouveau à l’origine d’une évolution technologique majeure », fait constater Renato Pellegrini, Directeur Pro Labs, Sennheiser. « Comme l’accès des particuliers à des systèmes d’enceintes immersives demeure encore limité, les broadcas</w:t>
      </w:r>
      <w:r>
        <w:t>teurs devaient redoubler d’efforts pour créer séparément des mix stéréo immersifs des grands événements sportifs retransmis à la télévision. Avec ce nouveau plugin Anubis, ils vont pouvoir se concentrer sur leur mix immersif sachant qu’il sera fidèlement c</w:t>
      </w:r>
      <w:r>
        <w:t>onverti, avec à la clé une expérience stéréo nettement supérieure à ce qui était possible jusque-là. En généralisant les bienfaits à la majorité des spectateurs, AMBEO Spatial Audio rend les investissements dans l’audio immersif bien plus rentables »</w:t>
      </w:r>
    </w:p>
    <w:p w:rsidR="00164B4C" w:rsidRDefault="00164B4C" w14:paraId="6A05A809" w14:textId="77777777"/>
    <w:p w:rsidR="00164B4C" w:rsidRDefault="00DF0231" w14:paraId="47562806" w14:textId="77777777">
      <w:r>
        <w:t>Le p</w:t>
      </w:r>
      <w:r>
        <w:t>lugin AMBEO 2-Channel Spatial Audio Live Renderer</w:t>
      </w:r>
      <w:r>
        <w:rPr>
          <w:b/>
          <w:bCs/>
        </w:rPr>
        <w:t xml:space="preserve"> </w:t>
      </w:r>
      <w:r>
        <w:t>convertit en temps réel les formats surround multicanal et immersif standard en un format audio bi-canal lisible par n’importe quel système stéréo. Des commandes brevetées et spécifiquement adaptées pour le</w:t>
      </w:r>
      <w:r>
        <w:t xml:space="preserve">s diffuseurs permettent des réglages précis des paramètres de spatialisation pour préserver l’intégrité du mix et améliorer l’intelligibilité des dialogues. </w:t>
      </w:r>
    </w:p>
    <w:p w:rsidR="00164B4C" w:rsidRDefault="00164B4C" w14:paraId="5A39BBE3" w14:textId="77777777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3"/>
        <w:gridCol w:w="2637"/>
      </w:tblGrid>
      <w:tr w:rsidR="00164B4C" w14:paraId="6813824C" w14:textId="77777777">
        <w:tc>
          <w:tcPr>
            <w:tcW w:w="3945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164B4C" w:rsidRDefault="00DF0231" w14:paraId="41C8F396" w14:textId="77777777">
            <w:pPr>
              <w:spacing w:line="210" w:lineRule="atLeast"/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 wp14:anchorId="6AF2F46B" wp14:editId="07777777">
                  <wp:extent cx="3257550" cy="2657475"/>
                  <wp:effectExtent l="0" t="0" r="0" b="0"/>
                  <wp:docPr id="100005" name="Picture 100005" descr="Graphical user inter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5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0" cy="2657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5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164B4C" w:rsidRDefault="00DF0231" w14:paraId="4DB0E035" w14:textId="77777777">
            <w:pPr>
              <w:spacing w:line="21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15"/>
                <w:szCs w:val="15"/>
              </w:rPr>
              <w:t>Le plugin AMBEO 2-Channel Spatial Audio Live Renderer pouvant s’appliquer indifféremment à tous</w:t>
            </w:r>
            <w:r>
              <w:rPr>
                <w:color w:val="000000"/>
                <w:sz w:val="15"/>
                <w:szCs w:val="15"/>
              </w:rPr>
              <w:t xml:space="preserve"> les spectateurs, il rend les investissements dans les contenus surround et immersifs plus rentables. L’illustration ci-contre est celle du prototype de l’interface de rendu pour régler précisément la spatialisation du mix bi-canal via le logiciel standard</w:t>
            </w:r>
            <w:r>
              <w:rPr>
                <w:color w:val="000000"/>
                <w:sz w:val="15"/>
                <w:szCs w:val="15"/>
              </w:rPr>
              <w:t xml:space="preserve"> Anubis Remote Control. </w:t>
            </w:r>
          </w:p>
        </w:tc>
      </w:tr>
    </w:tbl>
    <w:p w:rsidR="00164B4C" w:rsidRDefault="00164B4C" w14:paraId="72A3D3EC" w14:textId="77777777"/>
    <w:p w:rsidR="00164B4C" w:rsidRDefault="00DF0231" w14:paraId="354CB478" w14:textId="77777777">
      <w:r>
        <w:t>Des démonstrations live du logiciel de rendu seront organisées dans le cadre du salon IBC, stand 8D50, du 15 au 18 septembre, de 12:30 et 14:30 tous les jours, et également à 17:00 le vendredi et le samedi. Pour tester le logicie</w:t>
      </w:r>
      <w:r>
        <w:t xml:space="preserve">l en conditions réelles, contacter </w:t>
      </w:r>
      <w:hyperlink w:history="1" r:id="rId12">
        <w:r>
          <w:rPr>
            <w:color w:val="0095D5"/>
            <w:u w:val="single" w:color="0095D5"/>
          </w:rPr>
          <w:t>prolabs@sennheiser.com</w:t>
        </w:r>
      </w:hyperlink>
      <w:r>
        <w:t xml:space="preserve">. </w:t>
      </w:r>
    </w:p>
    <w:p w:rsidR="00164B4C" w:rsidRDefault="00164B4C" w14:paraId="0D0B940D" w14:textId="77777777"/>
    <w:p w:rsidR="00164B4C" w:rsidRDefault="00164B4C" w14:paraId="0E27B00A" w14:textId="77777777"/>
    <w:p w:rsidR="00164B4C" w:rsidRDefault="00DF0231" w14:paraId="6C2D5027" w14:textId="77777777">
      <w:pPr>
        <w:spacing w:line="240" w:lineRule="auto"/>
      </w:pPr>
      <w:bookmarkStart w:name="_Hlk79490807" w:id="0"/>
      <w:r>
        <w:rPr>
          <w:b/>
          <w:bCs/>
        </w:rPr>
        <w:t>À propos du Groupe Sennheiser</w:t>
      </w:r>
    </w:p>
    <w:p w:rsidR="00164B4C" w:rsidRDefault="00164B4C" w14:paraId="60061E4C" w14:textId="77777777">
      <w:pPr>
        <w:spacing w:line="240" w:lineRule="auto"/>
      </w:pPr>
    </w:p>
    <w:p w:rsidR="00164B4C" w:rsidRDefault="00DF0231" w14:paraId="5D7D7934" w14:textId="77777777">
      <w:pPr>
        <w:spacing w:line="240" w:lineRule="auto"/>
      </w:pPr>
      <w:r>
        <w:t>Construire l'avenir de l'audio et créer des expériences sonores uniques pour les clients - voilà l'aspiration qui unit les employés du Groupe Sennheiser dans le monde entier. L'entreprise familiale indépendante Sennheiser, dirigée en troisième génération p</w:t>
      </w:r>
      <w:r>
        <w:t xml:space="preserve">ar le Dr Andreas Sennheiser et Daniel Sennheiser, a été fondée en 1945 et est aujourd'hui l'un des principaux fabricants dans le domaine de la technologie audio professionnelle. </w:t>
      </w:r>
    </w:p>
    <w:p w:rsidR="00164B4C" w:rsidRDefault="00164B4C" w14:paraId="44EAFD9C" w14:textId="77777777">
      <w:pPr>
        <w:spacing w:line="240" w:lineRule="auto"/>
      </w:pPr>
    </w:p>
    <w:p w:rsidR="00164B4C" w:rsidRDefault="00DF0231" w14:paraId="54AF702C" w14:textId="77777777">
      <w:pPr>
        <w:spacing w:line="240" w:lineRule="auto"/>
      </w:pPr>
      <w:hyperlink w:history="1" r:id="rId13">
        <w:r>
          <w:rPr>
            <w:color w:val="000000"/>
            <w:u w:val="single" w:color="000000"/>
          </w:rPr>
          <w:t>sennheiser.com</w:t>
        </w:r>
      </w:hyperlink>
      <w:r>
        <w:t xml:space="preserve"> | </w:t>
      </w:r>
      <w:hyperlink w:history="1" r:id="rId14">
        <w:r>
          <w:rPr>
            <w:color w:val="000000"/>
            <w:u w:val="single" w:color="000000"/>
          </w:rPr>
          <w:t>neumann.com</w:t>
        </w:r>
      </w:hyperlink>
      <w:r>
        <w:t xml:space="preserve"> |</w:t>
      </w:r>
      <w:r>
        <w:rPr>
          <w:u w:val="single"/>
        </w:rPr>
        <w:t xml:space="preserve"> dear-reality.com </w:t>
      </w:r>
      <w:r>
        <w:t xml:space="preserve">| </w:t>
      </w:r>
      <w:hyperlink w:history="1" r:id="rId15">
        <w:r>
          <w:rPr>
            <w:color w:val="000000"/>
            <w:u w:val="single" w:color="000000"/>
          </w:rPr>
          <w:t>merging.com</w:t>
        </w:r>
      </w:hyperlink>
      <w:bookmarkEnd w:id="0"/>
    </w:p>
    <w:tbl>
      <w:tblPr>
        <w:tblpPr w:leftFromText="141" w:rightFromText="141" w:vertAnchor="text" w:tblpY="1"/>
        <w:tblOverlap w:val="never"/>
        <w:tblW w:w="82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3"/>
        <w:gridCol w:w="4238"/>
      </w:tblGrid>
      <w:tr w:rsidR="00164B4C" w:rsidTr="6B3EB02B" w14:paraId="3DCE82C0" w14:textId="77777777">
        <w:trPr>
          <w:trHeight w:val="1550"/>
        </w:trPr>
        <w:tc>
          <w:tcPr>
            <w:tcW w:w="3975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64B4C" w:rsidRDefault="00DF0231" w14:paraId="1AFEA993" w14:textId="77777777">
            <w:pPr>
              <w:spacing w:line="240" w:lineRule="auto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Contact Local</w:t>
            </w:r>
          </w:p>
          <w:p w:rsidR="00164B4C" w:rsidRDefault="00164B4C" w14:paraId="4B94D5A5" w14:textId="77777777">
            <w:pPr>
              <w:spacing w:line="240" w:lineRule="auto"/>
              <w:rPr>
                <w:color w:val="000000"/>
              </w:rPr>
            </w:pPr>
          </w:p>
          <w:p w:rsidR="00164B4C" w:rsidP="6B3EB02B" w:rsidRDefault="00DF0231" w14:paraId="19EDBCFD" w14:textId="457EED2A">
            <w:pPr>
              <w:spacing w:line="240" w:lineRule="auto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US"/>
              </w:rPr>
            </w:pPr>
            <w:r w:rsidRPr="6B3EB02B" w:rsidR="7F35BEA6">
              <w:rPr>
                <w:rFonts w:ascii="Segoe UI" w:hAnsi="Segoe UI" w:eastAsia="Segoe UI" w:cs="Segoe U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US"/>
              </w:rPr>
              <w:t>L’Agence TEAM LEWIS</w:t>
            </w:r>
          </w:p>
          <w:p w:rsidR="00164B4C" w:rsidP="6B3EB02B" w:rsidRDefault="00DF0231" w14:paraId="362E063C" w14:textId="44E00B60">
            <w:pPr>
              <w:spacing w:line="240" w:lineRule="auto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95D5"/>
                <w:sz w:val="18"/>
                <w:szCs w:val="18"/>
                <w:lang w:val="en-US"/>
              </w:rPr>
            </w:pPr>
            <w:r w:rsidRPr="6B3EB02B" w:rsidR="7F35BEA6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95D5"/>
                <w:sz w:val="18"/>
                <w:szCs w:val="18"/>
                <w:lang w:val="en-US"/>
              </w:rPr>
              <w:t>Julie D’hondt</w:t>
            </w:r>
          </w:p>
          <w:p w:rsidR="00164B4C" w:rsidP="6B3EB02B" w:rsidRDefault="00DF0231" w14:paraId="6624546F" w14:textId="5AEE8DAF">
            <w:pPr>
              <w:spacing w:line="240" w:lineRule="auto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US"/>
              </w:rPr>
            </w:pPr>
            <w:r w:rsidRPr="6B3EB02B" w:rsidR="7F35BEA6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US"/>
              </w:rPr>
              <w:t>Tel : 04 74 79 25 86</w:t>
            </w:r>
          </w:p>
          <w:p w:rsidR="00164B4C" w:rsidP="6B3EB02B" w:rsidRDefault="00DF0231" w14:paraId="5B6949F9" w14:textId="17CD7483">
            <w:pPr>
              <w:spacing w:line="240" w:lineRule="auto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US"/>
              </w:rPr>
            </w:pPr>
            <w:hyperlink r:id="Ra72211d37ef74c26">
              <w:r w:rsidRPr="6B3EB02B" w:rsidR="7F35BEA6">
                <w:rPr>
                  <w:rStyle w:val="Hyperlink"/>
                  <w:rFonts w:ascii="Segoe UI" w:hAnsi="Segoe UI" w:eastAsia="Segoe UI" w:cs="Segoe UI"/>
                  <w:b w:val="0"/>
                  <w:bCs w:val="0"/>
                  <w:i w:val="0"/>
                  <w:iCs w:val="0"/>
                  <w:caps w:val="0"/>
                  <w:smallCaps w:val="0"/>
                  <w:noProof w:val="0"/>
                  <w:sz w:val="18"/>
                  <w:szCs w:val="18"/>
                  <w:lang w:val="en-US"/>
                </w:rPr>
                <w:t>julie.dhondt@teamlewis.com</w:t>
              </w:r>
            </w:hyperlink>
          </w:p>
          <w:p w:rsidR="00164B4C" w:rsidP="6B3EB02B" w:rsidRDefault="00DF0231" w14:paraId="35D7A8B4" w14:textId="635F78E2">
            <w:pPr>
              <w:pStyle w:val="Normal"/>
              <w:spacing w:line="240" w:lineRule="auto"/>
              <w:rPr>
                <w:color w:val="000000"/>
              </w:rPr>
            </w:pPr>
          </w:p>
        </w:tc>
        <w:tc>
          <w:tcPr>
            <w:tcW w:w="4246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64B4C" w:rsidRDefault="00DF0231" w14:paraId="2E29933C" w14:textId="77777777">
            <w:pPr>
              <w:spacing w:line="240" w:lineRule="auto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C</w:t>
            </w:r>
            <w:r>
              <w:rPr>
                <w:b/>
                <w:bCs/>
                <w:color w:val="000000"/>
              </w:rPr>
              <w:t>ontact Global</w:t>
            </w:r>
          </w:p>
          <w:p w:rsidR="00164B4C" w:rsidRDefault="00164B4C" w14:paraId="3DEEC669" w14:textId="77777777">
            <w:pPr>
              <w:spacing w:line="240" w:lineRule="auto"/>
              <w:rPr>
                <w:color w:val="000000"/>
              </w:rPr>
            </w:pPr>
          </w:p>
          <w:p w:rsidR="00164B4C" w:rsidRDefault="00DF0231" w14:paraId="0D8BC8ED" w14:textId="77777777">
            <w:pPr>
              <w:spacing w:line="240" w:lineRule="auto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Sennheiser electronic GmbH &amp; Co. KG</w:t>
            </w:r>
          </w:p>
          <w:p w:rsidR="00164B4C" w:rsidRDefault="00DF0231" w14:paraId="04E847B1" w14:textId="77777777">
            <w:pPr>
              <w:spacing w:line="240" w:lineRule="auto"/>
              <w:rPr>
                <w:color w:val="000000"/>
              </w:rPr>
            </w:pPr>
            <w:r>
              <w:rPr>
                <w:color w:val="0095D5"/>
              </w:rPr>
              <w:t>Ann Vermont</w:t>
            </w:r>
          </w:p>
          <w:p w:rsidR="00164B4C" w:rsidRDefault="00DF0231" w14:paraId="6292F164" w14:textId="77777777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Communications Manager Europe</w:t>
            </w:r>
          </w:p>
          <w:p w:rsidR="00164B4C" w:rsidRDefault="00DF0231" w14:paraId="249F27C1" w14:textId="77777777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Tel : 01 49 87 44 20</w:t>
            </w:r>
          </w:p>
          <w:p w:rsidR="00164B4C" w:rsidRDefault="00DF0231" w14:paraId="76E534B3" w14:textId="77777777">
            <w:pPr>
              <w:spacing w:line="240" w:lineRule="auto"/>
              <w:rPr>
                <w:color w:val="000000"/>
              </w:rPr>
            </w:pPr>
            <w:hyperlink w:history="1" r:id="rId17">
              <w:r>
                <w:rPr>
                  <w:color w:val="000000"/>
                </w:rPr>
                <w:t>ann.vermont@sennheiser.com</w:t>
              </w:r>
            </w:hyperlink>
          </w:p>
        </w:tc>
      </w:tr>
    </w:tbl>
    <w:p w:rsidR="00164B4C" w:rsidRDefault="00164B4C" w14:paraId="3656B9AB" w14:textId="77777777">
      <w:pPr>
        <w:spacing w:line="240" w:lineRule="auto"/>
      </w:pPr>
    </w:p>
    <w:p w:rsidR="00164B4C" w:rsidRDefault="00164B4C" w14:paraId="45FB0818" w14:textId="77777777">
      <w:pPr>
        <w:spacing w:line="210" w:lineRule="atLeast"/>
        <w:rPr>
          <w:sz w:val="15"/>
          <w:szCs w:val="15"/>
        </w:rPr>
      </w:pPr>
    </w:p>
    <w:p w:rsidR="00164B4C" w:rsidRDefault="00164B4C" w14:paraId="049F31CB" w14:textId="77777777">
      <w:pPr>
        <w:spacing w:line="210" w:lineRule="atLeast"/>
        <w:rPr>
          <w:sz w:val="15"/>
          <w:szCs w:val="15"/>
        </w:rPr>
      </w:pPr>
    </w:p>
    <w:sectPr w:rsidR="00164B4C">
      <w:headerReference w:type="default" r:id="rId18"/>
      <w:pgSz w:w="11906" w:h="16838" w:orient="portrait"/>
      <w:pgMar w:top="2754" w:right="260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231" w:rsidRDefault="00DF0231" w14:paraId="4741B93C" w14:textId="77777777">
      <w:pPr>
        <w:spacing w:line="240" w:lineRule="auto"/>
      </w:pPr>
      <w:r>
        <w:separator/>
      </w:r>
    </w:p>
  </w:endnote>
  <w:endnote w:type="continuationSeparator" w:id="0">
    <w:p w:rsidR="00DF0231" w:rsidRDefault="00DF0231" w14:paraId="295BDD46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nnheiser Office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231" w:rsidRDefault="00DF0231" w14:paraId="56A30BB3" w14:textId="77777777">
      <w:pPr>
        <w:spacing w:line="240" w:lineRule="auto"/>
      </w:pPr>
      <w:r>
        <w:separator/>
      </w:r>
    </w:p>
  </w:footnote>
  <w:footnote w:type="continuationSeparator" w:id="0">
    <w:p w:rsidR="00DF0231" w:rsidRDefault="00DF0231" w14:paraId="5AC1BD38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164B4C" w:rsidRDefault="00DF0231" w14:paraId="349D6017" w14:textId="77777777">
    <w:pPr>
      <w:spacing w:line="195" w:lineRule="atLeast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60E3811" wp14:editId="07777777">
          <wp:simplePos x="0" y="0"/>
          <wp:positionH relativeFrom="page">
            <wp:posOffset>900430</wp:posOffset>
          </wp:positionH>
          <wp:positionV relativeFrom="page">
            <wp:posOffset>422275</wp:posOffset>
          </wp:positionV>
          <wp:extent cx="581025" cy="438150"/>
          <wp:effectExtent l="0" t="0" r="0" b="0"/>
          <wp:wrapNone/>
          <wp:docPr id="100001" name="Picture 10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1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1025" cy="438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aps/>
        <w:color w:val="0095D5"/>
        <w:spacing w:val="12"/>
        <w:sz w:val="15"/>
        <w:szCs w:val="15"/>
      </w:rPr>
      <w:t>communiqué de presse</w:t>
    </w:r>
  </w:p>
  <w:p w:rsidR="00164B4C" w:rsidRDefault="00DF0231" w14:paraId="3DAFCD1A" w14:textId="77777777">
    <w:pPr>
      <w:spacing w:line="195" w:lineRule="atLeast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caps/>
        <w:spacing w:val="12"/>
        <w:sz w:val="15"/>
        <w:szCs w:val="15"/>
      </w:rPr>
      <w:t>2</w:t>
    </w:r>
    <w:r>
      <w:rPr>
        <w:caps/>
        <w:spacing w:val="12"/>
        <w:sz w:val="15"/>
        <w:szCs w:val="15"/>
      </w:rPr>
      <w:fldChar w:fldCharType="end"/>
    </w:r>
    <w:r>
      <w:rPr>
        <w:caps/>
        <w:spacing w:val="12"/>
        <w:sz w:val="15"/>
        <w:szCs w:val="15"/>
      </w:rPr>
      <w:t>/</w:t>
    </w:r>
    <w:r>
      <w:rPr>
        <w:caps/>
        <w:spacing w:val="12"/>
        <w:sz w:val="15"/>
        <w:szCs w:val="15"/>
      </w:rPr>
      <w:fldChar w:fldCharType="begin"/>
    </w:r>
    <w:r>
      <w:rPr>
        <w:caps/>
        <w:spacing w:val="12"/>
        <w:sz w:val="15"/>
        <w:szCs w:val="15"/>
      </w:rPr>
      <w:instrText>NUMPAGES  \* Arabic  \* MERGEFORMAT</w:instrText>
    </w:r>
    <w:r>
      <w:rPr>
        <w:caps/>
        <w:spacing w:val="12"/>
        <w:sz w:val="15"/>
        <w:szCs w:val="15"/>
      </w:rPr>
      <w:fldChar w:fldCharType="separate"/>
    </w:r>
    <w:r>
      <w:rPr>
        <w:caps/>
        <w:spacing w:val="12"/>
        <w:sz w:val="15"/>
        <w:szCs w:val="15"/>
      </w:rPr>
      <w:t>2</w:t>
    </w:r>
    <w:r>
      <w:rPr>
        <w:caps/>
        <w:spacing w:val="12"/>
        <w:sz w:val="15"/>
        <w:szCs w:val="15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B4C"/>
    <w:rsid w:val="00164B4C"/>
    <w:rsid w:val="00DF0231"/>
    <w:rsid w:val="6B3EB02B"/>
    <w:rsid w:val="7F35B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614A2C"/>
  <w15:docId w15:val="{EB1A5824-3923-4D88-B831-601CEC7CD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05BCE"/>
    <w:pPr>
      <w:spacing w:line="360" w:lineRule="auto"/>
    </w:pPr>
    <w:rPr>
      <w:rFonts w:ascii="Sennheiser Office" w:hAnsi="Sennheiser Office" w:eastAsia="Sennheiser Office" w:cs="Sennheiser Office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/>
      <w:outlineLvl w:val="0"/>
    </w:pPr>
    <w:rPr>
      <w:rFonts w:ascii="Times New Roman" w:hAnsi="Times New Roman" w:eastAsia="Times New Roman" w:cs="Times New Roman"/>
      <w:b/>
      <w:bCs/>
      <w:color w:val="2F5496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/>
      <w:outlineLvl w:val="1"/>
    </w:pPr>
    <w:rPr>
      <w:rFonts w:ascii="Times New Roman" w:hAnsi="Times New Roman" w:eastAsia="Times New Roman" w:cs="Times New Roman"/>
      <w:b/>
      <w:bCs/>
      <w:color w:val="2F5496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/>
      <w:outlineLvl w:val="2"/>
    </w:pPr>
    <w:rPr>
      <w:rFonts w:ascii="Times New Roman" w:hAnsi="Times New Roman" w:eastAsia="Times New Roman" w:cs="Times New Roman"/>
      <w:b/>
      <w:bCs/>
      <w:color w:val="1F3763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/>
      <w:outlineLvl w:val="3"/>
    </w:pPr>
    <w:rPr>
      <w:rFonts w:ascii="Times New Roman" w:hAnsi="Times New Roman" w:eastAsia="Times New Roman" w:cs="Times New Roman"/>
      <w:b/>
      <w:bCs/>
      <w:iCs/>
      <w:color w:val="2F5496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/>
      <w:outlineLvl w:val="4"/>
    </w:pPr>
    <w:rPr>
      <w:rFonts w:ascii="Times New Roman" w:hAnsi="Times New Roman" w:eastAsia="Times New Roman" w:cs="Times New Roman"/>
      <w:b/>
      <w:bCs/>
      <w:color w:val="2F5496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/>
      <w:outlineLvl w:val="5"/>
    </w:pPr>
    <w:rPr>
      <w:rFonts w:ascii="Times New Roman" w:hAnsi="Times New Roman" w:eastAsia="Times New Roman" w:cs="Times New Roman"/>
      <w:b/>
      <w:bCs/>
      <w:color w:val="1F3763"/>
      <w:sz w:val="16"/>
      <w:szCs w:val="1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506D7A"/>
    <w:rPr>
      <w:rFonts w:ascii="Calibri Light" w:hAnsi="Calibri Light" w:eastAsia="Times New Roman" w:cs="Times New Roman"/>
      <w:color w:val="2F5496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506D7A"/>
    <w:rPr>
      <w:rFonts w:ascii="Calibri Light" w:hAnsi="Calibri Light" w:eastAsia="Times New Roman" w:cs="Times New Roman"/>
      <w:color w:val="2F5496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506D7A"/>
    <w:rPr>
      <w:rFonts w:ascii="Calibri Light" w:hAnsi="Calibri Light" w:eastAsia="Times New Roman" w:cs="Times New Roman"/>
      <w:color w:val="1F3763"/>
      <w:sz w:val="24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rsid w:val="00506D7A"/>
    <w:rPr>
      <w:rFonts w:ascii="Calibri Light" w:hAnsi="Calibri Light" w:eastAsia="Times New Roman" w:cs="Times New Roman"/>
      <w:i/>
      <w:iCs/>
      <w:color w:val="2F5496"/>
    </w:rPr>
  </w:style>
  <w:style w:type="character" w:styleId="Heading5Char" w:customStyle="1">
    <w:name w:val="Heading 5 Char"/>
    <w:basedOn w:val="DefaultParagraphFont"/>
    <w:link w:val="Heading5"/>
    <w:uiPriority w:val="9"/>
    <w:rsid w:val="00506D7A"/>
    <w:rPr>
      <w:rFonts w:ascii="Calibri Light" w:hAnsi="Calibri Light" w:eastAsia="Times New Roman" w:cs="Times New Roman"/>
      <w:color w:val="2F5496"/>
    </w:rPr>
  </w:style>
  <w:style w:type="character" w:styleId="Heading6Char" w:customStyle="1">
    <w:name w:val="Heading 6 Char"/>
    <w:basedOn w:val="DefaultParagraphFont"/>
    <w:link w:val="Heading6"/>
    <w:uiPriority w:val="9"/>
    <w:rsid w:val="00506D7A"/>
    <w:rPr>
      <w:rFonts w:ascii="Calibri Light" w:hAnsi="Calibri Light" w:eastAsia="Times New Roman" w:cs="Times New Roman"/>
      <w:color w:val="1F3763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hyperlink" Target="https://protect-eu.mimecast.com/s/lUszCgxgJHAZzmKWSo3cGI?domain=sennheiser.com" TargetMode="External" Id="rId13" /><Relationship Type="http://schemas.openxmlformats.org/officeDocument/2006/relationships/header" Target="header1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yperlink" Target="mailto:prolabs@sennheiser.com" TargetMode="External" Id="rId12" /><Relationship Type="http://schemas.openxmlformats.org/officeDocument/2006/relationships/hyperlink" Target="mailto:ann.vermont@sennheiser.com" TargetMode="External" Id="rId17" /><Relationship Type="http://schemas.openxmlformats.org/officeDocument/2006/relationships/customXml" Target="../customXml/item2.xml" Id="rId2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2.png" Id="rId11" /><Relationship Type="http://schemas.openxmlformats.org/officeDocument/2006/relationships/webSettings" Target="webSettings.xml" Id="rId5" /><Relationship Type="http://schemas.openxmlformats.org/officeDocument/2006/relationships/hyperlink" Target="https://www.merging.com/" TargetMode="External" Id="rId15" /><Relationship Type="http://schemas.openxmlformats.org/officeDocument/2006/relationships/hyperlink" Target="https://unsplash.com/de/fotos/IorqsMssQH0?utm_source=unsplash&amp;utm_medium=referral&amp;utm_content=creditCopyText" TargetMode="External" Id="rId10" /><Relationship Type="http://schemas.openxmlformats.org/officeDocument/2006/relationships/fontTable" Target="fontTable.xml" Id="rId19" /><Relationship Type="http://schemas.openxmlformats.org/officeDocument/2006/relationships/settings" Target="settings.xml" Id="rId4" /><Relationship Type="http://schemas.openxmlformats.org/officeDocument/2006/relationships/hyperlink" Target="https://unsplash.com/de/@jasonrc23?utm_source=unsplash&amp;utm_medium=referral&amp;utm_content=creditCopyText" TargetMode="External" Id="rId9" /><Relationship Type="http://schemas.openxmlformats.org/officeDocument/2006/relationships/hyperlink" Target="https://protect-eu.mimecast.com/s/hW3dCm2oZUjNQA8YSDwLrJ?domain=neumann.com" TargetMode="External" Id="rId14" /><Relationship Type="http://schemas.openxmlformats.org/officeDocument/2006/relationships/hyperlink" Target="mailto:julie.dhondt@teamlewis.com" TargetMode="External" Id="Ra72211d37ef74c26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631F0B97BE6F4E9C748259C5442E9E" ma:contentTypeVersion="" ma:contentTypeDescription="Create a new document." ma:contentTypeScope="" ma:versionID="f66315d9ae2674020da36e198c6a11b8">
  <xsd:schema xmlns:xsd="http://www.w3.org/2001/XMLSchema" xmlns:xs="http://www.w3.org/2001/XMLSchema" xmlns:p="http://schemas.microsoft.com/office/2006/metadata/properties" xmlns:ns2="12e5f8c0-cee7-4117-a260-6fb1ed4d85b9" xmlns:ns3="927c0a03-21e4-4552-9f2d-a3c745a20fee" targetNamespace="http://schemas.microsoft.com/office/2006/metadata/properties" ma:root="true" ma:fieldsID="76f6013425fc40f2786bf97ce6eb60a9" ns2:_="" ns3:_="">
    <xsd:import namespace="12e5f8c0-cee7-4117-a260-6fb1ed4d85b9"/>
    <xsd:import namespace="927c0a03-21e4-4552-9f2d-a3c745a20fe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e5f8c0-cee7-4117-a260-6fb1ed4d85b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09B6D5E1-99F6-42D0-AD07-77C3F78A9A49}" ma:internalName="TaxCatchAll" ma:showField="CatchAllData" ma:web="{a2a59d80-7305-4fef-9683-2a878ab0b891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7c0a03-21e4-4552-9f2d-a3c745a20f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a1031204-b4c4-4586-a21d-e39fdc9fec6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059406-85B7-4980-97C1-12FBC66E24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FC529B-F3DD-449C-87BD-E0F9F670F3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e5f8c0-cee7-4117-a260-6fb1ed4d85b9"/>
    <ds:schemaRef ds:uri="927c0a03-21e4-4552-9f2d-a3c745a20f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Julie D'hondt</lastModifiedBy>
  <revision>1</revision>
  <dcterms:created xsi:type="dcterms:W3CDTF">2023-09-15T08:14:00.0000000Z</dcterms:created>
  <dcterms:modified xsi:type="dcterms:W3CDTF">2023-09-15T08:15:25.1593101Z</dcterms:modified>
</coreProperties>
</file>